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目录</w:t>
      </w:r>
    </w:p>
    <w:p>
      <w:pPr>
        <w:jc w:val="left"/>
        <w:rPr>
          <w:rFonts w:ascii="黑体" w:hAnsi="黑体" w:eastAsia="黑体"/>
          <w:sz w:val="30"/>
          <w:szCs w:val="30"/>
        </w:rPr>
      </w:pPr>
    </w:p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第一部分 昆明</w:t>
      </w:r>
      <w:r>
        <w:rPr>
          <w:rFonts w:hint="eastAsia" w:ascii="黑体" w:hAnsi="黑体" w:eastAsia="黑体"/>
          <w:sz w:val="30"/>
          <w:szCs w:val="30"/>
          <w:lang w:eastAsia="zh-CN"/>
        </w:rPr>
        <w:t>广播电视大学</w:t>
      </w:r>
      <w:r>
        <w:rPr>
          <w:rFonts w:hint="eastAsia" w:ascii="黑体" w:hAnsi="黑体" w:eastAsia="黑体"/>
          <w:sz w:val="30"/>
          <w:szCs w:val="30"/>
        </w:rPr>
        <w:t>2018年部门预算编制说明</w:t>
      </w:r>
    </w:p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第二部分 昆明</w:t>
      </w:r>
      <w:r>
        <w:rPr>
          <w:rFonts w:hint="eastAsia" w:ascii="黑体" w:hAnsi="黑体" w:eastAsia="黑体"/>
          <w:sz w:val="30"/>
          <w:szCs w:val="30"/>
          <w:lang w:eastAsia="zh-CN"/>
        </w:rPr>
        <w:t>广播电视大学</w:t>
      </w:r>
      <w:r>
        <w:rPr>
          <w:rFonts w:hint="eastAsia" w:ascii="黑体" w:hAnsi="黑体" w:eastAsia="黑体"/>
          <w:sz w:val="30"/>
          <w:szCs w:val="30"/>
        </w:rPr>
        <w:t>2018年部门预算表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一、附表目录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二、封面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三、财政拨款收支预算总表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四、一般公共预算支出表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五、基本支出预算表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六、政府性基金预算支出表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七、收支总表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八、收入总表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九、支出总表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十、“三公”经费公共预算财政拨款支出情况表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十一、整体支出绩效目标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十二、单位基本信息表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十三、行政事业单位国有资产占有使用情况表</w:t>
      </w:r>
    </w:p>
    <w:p>
      <w:pPr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十四、政府采购预算表</w:t>
      </w:r>
    </w:p>
    <w:p>
      <w:pPr>
        <w:widowControl/>
        <w:jc w:val="center"/>
        <w:rPr>
          <w:rFonts w:ascii="方正小标宋简体" w:eastAsia="方正小标宋简体"/>
          <w:kern w:val="0"/>
          <w:sz w:val="36"/>
          <w:szCs w:val="36"/>
        </w:rPr>
      </w:pPr>
    </w:p>
    <w:p>
      <w:pPr>
        <w:widowControl/>
        <w:jc w:val="center"/>
        <w:rPr>
          <w:rFonts w:ascii="方正小标宋简体" w:eastAsia="方正小标宋简体"/>
          <w:kern w:val="0"/>
          <w:sz w:val="36"/>
          <w:szCs w:val="36"/>
        </w:rPr>
      </w:pPr>
    </w:p>
    <w:p>
      <w:pPr>
        <w:widowControl/>
        <w:jc w:val="center"/>
        <w:rPr>
          <w:rFonts w:ascii="方正小标宋简体" w:eastAsia="方正小标宋简体"/>
          <w:kern w:val="0"/>
          <w:sz w:val="36"/>
          <w:szCs w:val="36"/>
        </w:rPr>
      </w:pPr>
    </w:p>
    <w:p>
      <w:pPr>
        <w:widowControl/>
        <w:jc w:val="center"/>
        <w:rPr>
          <w:rFonts w:ascii="方正小标宋简体" w:eastAsia="方正小标宋简体"/>
          <w:kern w:val="0"/>
          <w:sz w:val="36"/>
          <w:szCs w:val="36"/>
        </w:rPr>
      </w:pPr>
    </w:p>
    <w:p>
      <w:pPr>
        <w:widowControl/>
        <w:jc w:val="center"/>
        <w:rPr>
          <w:rFonts w:ascii="方正小标宋简体" w:eastAsia="方正小标宋简体"/>
          <w:kern w:val="0"/>
          <w:sz w:val="36"/>
          <w:szCs w:val="36"/>
        </w:rPr>
      </w:pPr>
    </w:p>
    <w:p>
      <w:pPr>
        <w:widowControl/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kern w:val="0"/>
          <w:sz w:val="36"/>
          <w:szCs w:val="36"/>
        </w:rPr>
        <w:t>昆明</w:t>
      </w:r>
      <w:r>
        <w:rPr>
          <w:rFonts w:hint="eastAsia" w:ascii="黑体" w:hAnsi="黑体" w:eastAsia="黑体"/>
          <w:sz w:val="36"/>
          <w:szCs w:val="36"/>
          <w:lang w:eastAsia="zh-CN"/>
        </w:rPr>
        <w:t>广播电视大学</w:t>
      </w:r>
    </w:p>
    <w:p>
      <w:pPr>
        <w:widowControl/>
        <w:jc w:val="center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hint="eastAsia" w:ascii="方正小标宋简体" w:eastAsia="方正小标宋简体"/>
          <w:kern w:val="0"/>
          <w:sz w:val="36"/>
          <w:szCs w:val="36"/>
        </w:rPr>
        <w:t>2018年部门预算编制说明</w:t>
      </w:r>
    </w:p>
    <w:p>
      <w:pPr>
        <w:widowControl/>
        <w:jc w:val="left"/>
        <w:rPr>
          <w:rFonts w:ascii="黑体" w:hAnsi="黑体" w:eastAsia="黑体"/>
          <w:kern w:val="0"/>
          <w:sz w:val="30"/>
          <w:szCs w:val="30"/>
        </w:rPr>
      </w:pPr>
    </w:p>
    <w:p>
      <w:pPr>
        <w:widowControl/>
        <w:ind w:firstLine="750" w:firstLineChars="25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一、基本职能及主要工作</w:t>
      </w:r>
    </w:p>
    <w:p>
      <w:pPr>
        <w:spacing w:line="600" w:lineRule="exact"/>
        <w:ind w:firstLine="600" w:firstLineChars="200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bCs/>
          <w:sz w:val="30"/>
          <w:szCs w:val="30"/>
        </w:rPr>
        <w:t>（一）主要职能</w:t>
      </w:r>
    </w:p>
    <w:p>
      <w:pPr>
        <w:widowControl/>
        <w:ind w:firstLine="600" w:firstLineChars="200"/>
        <w:jc w:val="left"/>
        <w:rPr>
          <w:rFonts w:hint="eastAsia" w:eastAsia="仿宋_GB2312"/>
          <w:kern w:val="0"/>
          <w:sz w:val="30"/>
          <w:szCs w:val="30"/>
          <w:lang w:val="zh-CN"/>
        </w:rPr>
      </w:pPr>
      <w:r>
        <w:rPr>
          <w:rFonts w:hint="eastAsia" w:eastAsia="仿宋_GB2312"/>
          <w:kern w:val="0"/>
          <w:sz w:val="30"/>
          <w:szCs w:val="30"/>
        </w:rPr>
        <w:t>昆明广播电视大学（昆明开放学院、昆明广播电视中等专业学校、昆明城市经济学校、昆明市教师培训中心）的主要职能是：通过实施远程教育、全日制教育、短期培训等手段，开展多层次、多规格、多形式的办学，为社会成员提供专本科开放学历教育、专本科网络高等学历教育、中职学历教育以及非学历继续教育、职业教育培训、岗位培训、其他短期培训等教育服务；完成上级交办的其他工作。</w:t>
      </w:r>
    </w:p>
    <w:p>
      <w:pPr>
        <w:widowControl/>
        <w:ind w:firstLine="600" w:firstLineChars="2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（二）机构设置情况</w:t>
      </w:r>
    </w:p>
    <w:p>
      <w:pPr>
        <w:widowControl/>
        <w:ind w:firstLine="600" w:firstLineChars="200"/>
        <w:jc w:val="left"/>
        <w:rPr>
          <w:rFonts w:hint="eastAsia"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学校现行昆明广播电视大学、昆明开放学院、昆明城市经济学校、昆明市教师培训中心“四块牌子、一套编制”的管理模式，内设办公室、招培处、教务处、学生处、科研处、师训中心、现代教育技术处、总务处八个行政处室。</w:t>
      </w:r>
    </w:p>
    <w:p>
      <w:pPr>
        <w:widowControl/>
        <w:ind w:firstLine="600" w:firstLineChars="2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</w:t>
      </w:r>
      <w:r>
        <w:rPr>
          <w:rFonts w:hint="eastAsia" w:ascii="楷体_GB2312" w:eastAsia="楷体_GB2312"/>
          <w:kern w:val="0"/>
          <w:sz w:val="30"/>
          <w:szCs w:val="30"/>
        </w:rPr>
        <w:t>三</w:t>
      </w:r>
      <w:r>
        <w:rPr>
          <w:rFonts w:ascii="楷体_GB2312" w:eastAsia="楷体_GB2312"/>
          <w:kern w:val="0"/>
          <w:sz w:val="30"/>
          <w:szCs w:val="30"/>
        </w:rPr>
        <w:t>）重点工作概述</w:t>
      </w:r>
    </w:p>
    <w:p>
      <w:pPr>
        <w:adjustRightInd w:val="0"/>
        <w:snapToGrid w:val="0"/>
        <w:spacing w:line="560" w:lineRule="exact"/>
        <w:ind w:firstLine="600" w:firstLineChars="200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201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8</w:t>
      </w:r>
      <w:r>
        <w:rPr>
          <w:rFonts w:hint="eastAsia" w:ascii="楷体" w:hAnsi="楷体" w:eastAsia="楷体"/>
          <w:sz w:val="30"/>
          <w:szCs w:val="30"/>
        </w:rPr>
        <w:t>年学校的工作思路是：以昆明市教育“十三五”发展规划、昆明市教育局201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8</w:t>
      </w:r>
      <w:r>
        <w:rPr>
          <w:rFonts w:hint="eastAsia" w:ascii="楷体" w:hAnsi="楷体" w:eastAsia="楷体"/>
          <w:sz w:val="30"/>
          <w:szCs w:val="30"/>
        </w:rPr>
        <w:t>年党、政《工作要点》为指导，围绕“昆明开放学院+昆明市教师培训中心”的总体定位，深化实施《学校改革发展规划》，继续以扩大办学规模为主要目标，以巩固联盟办学体系、做强中高衔接项目、深化师训工作、推进校舍排危改扩建工程为工作重点，积极拓展大联盟办学体系，持续深化大开放办学合作，大力探索师资培训实施途径，逐步改善办学软硬支撑条件，努力提高办学质量和体系支持服务水平，全面加强党的建设，全力促进学校转型发展再上新台阶。</w:t>
      </w:r>
    </w:p>
    <w:p>
      <w:pPr>
        <w:adjustRightInd w:val="0"/>
        <w:snapToGrid w:val="0"/>
        <w:spacing w:line="560" w:lineRule="exact"/>
        <w:ind w:firstLine="600" w:firstLineChars="200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201</w:t>
      </w:r>
      <w:r>
        <w:rPr>
          <w:rFonts w:hint="eastAsia" w:ascii="楷体" w:hAnsi="楷体" w:eastAsia="楷体"/>
          <w:sz w:val="30"/>
          <w:szCs w:val="30"/>
          <w:lang w:val="en-US" w:eastAsia="zh-CN"/>
        </w:rPr>
        <w:t>8</w:t>
      </w:r>
      <w:r>
        <w:rPr>
          <w:rFonts w:hint="eastAsia" w:ascii="楷体" w:hAnsi="楷体" w:eastAsia="楷体"/>
          <w:sz w:val="30"/>
          <w:szCs w:val="30"/>
        </w:rPr>
        <w:t>年学校的重点工作任务是：1.加强联盟办学体系建设；2.做大学历教育规模；3.探索非学历继续教育实施途径；4.完善办学和学习支持服务举措；5.推进学校排危改扩建项目实施；6.深化平安和谐校园建设；7.加强党建和思想政治工作；8.完善学校内部管理。</w:t>
      </w:r>
    </w:p>
    <w:p>
      <w:pPr>
        <w:widowControl/>
        <w:jc w:val="left"/>
        <w:rPr>
          <w:rFonts w:ascii="黑体" w:hAnsi="黑体" w:eastAsia="黑体"/>
          <w:kern w:val="0"/>
          <w:sz w:val="30"/>
          <w:szCs w:val="30"/>
        </w:rPr>
      </w:pP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二、预算单位基本情况</w:t>
      </w:r>
    </w:p>
    <w:p>
      <w:pPr>
        <w:widowControl/>
        <w:ind w:firstLine="600" w:firstLineChars="200"/>
        <w:jc w:val="left"/>
        <w:rPr>
          <w:rFonts w:hint="eastAsia" w:eastAsia="仿宋_GB2312"/>
          <w:kern w:val="0"/>
          <w:sz w:val="30"/>
          <w:szCs w:val="30"/>
          <w:lang w:eastAsia="zh-CN"/>
        </w:rPr>
      </w:pPr>
      <w:r>
        <w:rPr>
          <w:rFonts w:hint="eastAsia" w:eastAsia="仿宋_GB2312"/>
          <w:kern w:val="0"/>
          <w:sz w:val="30"/>
          <w:szCs w:val="30"/>
        </w:rPr>
        <w:t>纳入</w:t>
      </w:r>
      <w:r>
        <w:rPr>
          <w:rFonts w:eastAsia="仿宋_GB2312"/>
          <w:kern w:val="0"/>
          <w:sz w:val="30"/>
          <w:szCs w:val="30"/>
        </w:rPr>
        <w:t>2018</w:t>
      </w:r>
      <w:r>
        <w:rPr>
          <w:rFonts w:hint="eastAsia" w:eastAsia="仿宋_GB2312"/>
          <w:kern w:val="0"/>
          <w:sz w:val="30"/>
          <w:szCs w:val="30"/>
        </w:rPr>
        <w:t>年部门预算编报的单位共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1个：</w:t>
      </w:r>
      <w:r>
        <w:rPr>
          <w:rFonts w:hint="eastAsia" w:eastAsia="仿宋_GB2312"/>
          <w:kern w:val="0"/>
          <w:sz w:val="30"/>
          <w:szCs w:val="30"/>
        </w:rPr>
        <w:t>昆明广播电视大学，</w:t>
      </w:r>
      <w:r>
        <w:rPr>
          <w:rFonts w:hint="eastAsia" w:eastAsia="仿宋_GB2312"/>
          <w:kern w:val="0"/>
          <w:sz w:val="30"/>
          <w:szCs w:val="30"/>
          <w:lang w:eastAsia="zh-CN"/>
        </w:rPr>
        <w:t>属于</w:t>
      </w:r>
      <w:r>
        <w:rPr>
          <w:rFonts w:hint="eastAsia" w:eastAsia="仿宋_GB2312"/>
          <w:kern w:val="0"/>
          <w:sz w:val="30"/>
          <w:szCs w:val="30"/>
        </w:rPr>
        <w:t>财政全供给单位</w:t>
      </w:r>
      <w:r>
        <w:rPr>
          <w:rFonts w:hint="eastAsia" w:eastAsia="仿宋_GB2312"/>
          <w:kern w:val="0"/>
          <w:sz w:val="30"/>
          <w:szCs w:val="30"/>
          <w:lang w:eastAsia="zh-CN"/>
        </w:rPr>
        <w:t>（</w:t>
      </w:r>
      <w:r>
        <w:rPr>
          <w:rFonts w:hint="eastAsia" w:eastAsia="仿宋_GB2312"/>
          <w:kern w:val="0"/>
          <w:sz w:val="30"/>
          <w:szCs w:val="30"/>
        </w:rPr>
        <w:t>非参公管理事业单位</w:t>
      </w:r>
      <w:r>
        <w:rPr>
          <w:rFonts w:hint="eastAsia" w:eastAsia="仿宋_GB2312"/>
          <w:kern w:val="0"/>
          <w:sz w:val="30"/>
          <w:szCs w:val="30"/>
          <w:lang w:eastAsia="zh-CN"/>
        </w:rPr>
        <w:t>）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eastAsia="仿宋_GB231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201</w:t>
      </w:r>
      <w:r>
        <w:rPr>
          <w:rFonts w:hint="eastAsia" w:ascii="仿宋" w:hAnsi="仿宋" w:eastAsia="仿宋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年末我校编制88人，现有教职工</w:t>
      </w:r>
      <w:r>
        <w:rPr>
          <w:rFonts w:hint="eastAsia" w:ascii="仿宋" w:hAnsi="仿宋" w:eastAsia="仿宋"/>
          <w:snapToGrid w:val="0"/>
          <w:kern w:val="0"/>
          <w:sz w:val="32"/>
          <w:szCs w:val="32"/>
          <w:lang w:val="en-US" w:eastAsia="zh-CN"/>
        </w:rPr>
        <w:t>68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人，退休</w:t>
      </w:r>
      <w:r>
        <w:rPr>
          <w:rFonts w:hint="eastAsia" w:ascii="仿宋" w:hAnsi="仿宋" w:eastAsia="仿宋"/>
          <w:snapToGrid w:val="0"/>
          <w:kern w:val="0"/>
          <w:sz w:val="32"/>
          <w:szCs w:val="32"/>
          <w:lang w:val="en-US" w:eastAsia="zh-CN"/>
        </w:rPr>
        <w:t>44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人</w:t>
      </w:r>
      <w:r>
        <w:rPr>
          <w:rFonts w:hint="eastAsia" w:ascii="仿宋" w:hAnsi="仿宋" w:eastAsia="仿宋"/>
          <w:snapToGrid w:val="0"/>
          <w:kern w:val="0"/>
          <w:sz w:val="32"/>
          <w:szCs w:val="32"/>
          <w:lang w:val="en-US" w:eastAsia="zh-CN"/>
        </w:rPr>
        <w:t>,离休2人</w:t>
      </w:r>
      <w:r>
        <w:rPr>
          <w:rFonts w:hint="eastAsia" w:ascii="仿宋" w:hAnsi="仿宋" w:eastAsia="仿宋"/>
          <w:snapToGrid w:val="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年末实有开放学历教育（专、本科）学生</w:t>
      </w:r>
      <w:r>
        <w:rPr>
          <w:rFonts w:hint="eastAsia" w:ascii="仿宋" w:hAnsi="仿宋" w:eastAsia="仿宋"/>
          <w:snapToGrid w:val="0"/>
          <w:kern w:val="0"/>
          <w:sz w:val="32"/>
          <w:szCs w:val="32"/>
          <w:lang w:val="en-US" w:eastAsia="zh-CN"/>
        </w:rPr>
        <w:t>8001</w:t>
      </w:r>
      <w:r>
        <w:rPr>
          <w:rFonts w:hint="eastAsia" w:ascii="仿宋" w:hAnsi="仿宋" w:eastAsia="仿宋"/>
          <w:snapToGrid w:val="0"/>
          <w:kern w:val="0"/>
          <w:sz w:val="32"/>
          <w:szCs w:val="32"/>
        </w:rPr>
        <w:t>人，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在编车辆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3</w:t>
      </w:r>
      <w:r>
        <w:rPr>
          <w:rFonts w:hint="eastAsia" w:eastAsia="仿宋_GB2312"/>
          <w:kern w:val="0"/>
          <w:sz w:val="30"/>
          <w:szCs w:val="30"/>
        </w:rPr>
        <w:t>辆</w:t>
      </w:r>
      <w:r>
        <w:rPr>
          <w:rFonts w:eastAsia="仿宋_GB2312"/>
          <w:kern w:val="0"/>
          <w:sz w:val="30"/>
          <w:szCs w:val="30"/>
        </w:rPr>
        <w:t>，实有车辆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3</w:t>
      </w:r>
      <w:r>
        <w:rPr>
          <w:rFonts w:eastAsia="仿宋_GB2312"/>
          <w:kern w:val="0"/>
          <w:sz w:val="30"/>
          <w:szCs w:val="30"/>
        </w:rPr>
        <w:t>辆。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三、预算单位收入情况</w:t>
      </w:r>
    </w:p>
    <w:p>
      <w:pPr>
        <w:widowControl/>
        <w:ind w:firstLine="450" w:firstLineChars="1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（一）部门财务收入情况</w:t>
      </w:r>
    </w:p>
    <w:p>
      <w:pPr>
        <w:widowControl/>
        <w:ind w:firstLine="750" w:firstLineChars="25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>2018年部门总收入为 3919.25 万元，其中：一般公共财政预算 3546.40 万元，政府性基金预算收入 0 万元，国有资本经营预算收入 0 万元，纳入财政专户管理非税收入 117.60 万元，事业单位事业收入 0 万元，事业单位经营收入 0 万元，纳入财政专户管理非税收入结余结转资金 255.25 万元。</w:t>
      </w:r>
    </w:p>
    <w:p>
      <w:pPr>
        <w:widowControl/>
        <w:ind w:firstLine="450" w:firstLineChars="1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（二）财政拨款收入情况</w:t>
      </w:r>
    </w:p>
    <w:p>
      <w:pPr>
        <w:widowControl/>
        <w:ind w:firstLine="750" w:firstLineChars="25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>2018年部门财政拨款收入3919.25万元，其中:本年收入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3664</w:t>
      </w:r>
      <w:r>
        <w:rPr>
          <w:rFonts w:hint="eastAsia" w:ascii="仿宋_GB2312" w:eastAsia="仿宋_GB2312"/>
          <w:kern w:val="0"/>
          <w:sz w:val="30"/>
          <w:szCs w:val="30"/>
        </w:rPr>
        <w:t>万元，上年结转收入255.25万元。本年收入中，一般公共预算财政拨款 3546.40万元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kern w:val="0"/>
          <w:sz w:val="30"/>
          <w:szCs w:val="30"/>
        </w:rPr>
        <w:t>财政专户管理的收入117.60 万元。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四、预算单位支出情况</w:t>
      </w:r>
    </w:p>
    <w:p>
      <w:pPr>
        <w:widowControl/>
        <w:ind w:firstLine="600" w:firstLineChars="200"/>
        <w:jc w:val="left"/>
        <w:rPr>
          <w:rFonts w:hint="eastAsia"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>2018 年支出预算 3919.25万元，其中：基本支出 1233.6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/>
          <w:kern w:val="0"/>
          <w:sz w:val="30"/>
          <w:szCs w:val="30"/>
        </w:rPr>
        <w:t xml:space="preserve"> 万元，含：工资福利支出（人员支出）1131.40 万元、对个人和家庭的补助支出 0 万元、商品及服务支出（公用支出）102.2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/>
          <w:kern w:val="0"/>
          <w:sz w:val="30"/>
          <w:szCs w:val="30"/>
        </w:rPr>
        <w:t xml:space="preserve"> 元；项目支出 2685.57 万元，含：政策性支出 0 万元、市委、市政府确定需要财政配套支出 15 万元、部门业务支出 2670.57 万元。</w:t>
      </w:r>
    </w:p>
    <w:p>
      <w:pPr>
        <w:widowControl/>
        <w:ind w:firstLine="450" w:firstLineChars="150"/>
        <w:jc w:val="left"/>
        <w:rPr>
          <w:rFonts w:eastAsia="仿宋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（一）本级财力支出按功能科目分类情况</w:t>
      </w:r>
    </w:p>
    <w:p>
      <w:pPr>
        <w:widowControl/>
        <w:ind w:firstLine="600" w:firstLineChars="200"/>
        <w:jc w:val="left"/>
        <w:rPr>
          <w:rFonts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>按支出功能科目分类，支出分别列“205-05”支出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1606.54</w:t>
      </w:r>
      <w:r>
        <w:rPr>
          <w:rFonts w:hint="eastAsia" w:ascii="仿宋_GB2312" w:eastAsia="仿宋_GB2312"/>
          <w:kern w:val="0"/>
          <w:sz w:val="30"/>
          <w:szCs w:val="30"/>
        </w:rPr>
        <w:t>万元，主要反映广播电视教育的支出、“205-09”支出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2312.71</w:t>
      </w:r>
      <w:r>
        <w:rPr>
          <w:rFonts w:hint="eastAsia" w:ascii="仿宋_GB2312" w:eastAsia="仿宋_GB2312"/>
          <w:kern w:val="0"/>
          <w:sz w:val="30"/>
          <w:szCs w:val="30"/>
        </w:rPr>
        <w:t>万元，主要反映教育费附加安排的支出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。</w:t>
      </w:r>
    </w:p>
    <w:p>
      <w:pPr>
        <w:widowControl/>
        <w:ind w:firstLine="450" w:firstLineChars="15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（二）本级财力支出按经济科目分类情况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>按支出经济分类科目分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类，其中：</w:t>
      </w:r>
      <w:r>
        <w:rPr>
          <w:rFonts w:hint="eastAsia" w:ascii="仿宋_GB2312" w:eastAsia="仿宋_GB2312"/>
          <w:kern w:val="0"/>
          <w:sz w:val="30"/>
          <w:szCs w:val="30"/>
        </w:rPr>
        <w:t>基本支出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1233.68</w:t>
      </w:r>
      <w:r>
        <w:rPr>
          <w:rFonts w:hint="eastAsia" w:ascii="仿宋_GB2312" w:eastAsia="仿宋_GB2312"/>
          <w:kern w:val="0"/>
          <w:sz w:val="30"/>
          <w:szCs w:val="30"/>
        </w:rPr>
        <w:t>万元，项目支出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2685.57</w:t>
      </w:r>
      <w:r>
        <w:rPr>
          <w:rFonts w:hint="eastAsia" w:ascii="仿宋_GB2312" w:eastAsia="仿宋_GB2312"/>
          <w:kern w:val="0"/>
          <w:sz w:val="30"/>
          <w:szCs w:val="30"/>
        </w:rPr>
        <w:t>万元。</w:t>
      </w:r>
    </w:p>
    <w:p>
      <w:pPr>
        <w:ind w:firstLine="600" w:firstLineChars="20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  <w:lang w:eastAsia="zh-CN"/>
        </w:rPr>
        <w:t>五</w:t>
      </w:r>
      <w:r>
        <w:rPr>
          <w:rFonts w:ascii="黑体" w:hAnsi="黑体" w:eastAsia="黑体"/>
          <w:kern w:val="0"/>
          <w:sz w:val="30"/>
          <w:szCs w:val="30"/>
        </w:rPr>
        <w:t>、</w:t>
      </w:r>
      <w:r>
        <w:rPr>
          <w:rFonts w:ascii="黑体" w:hAnsi="黑体" w:eastAsia="黑体"/>
          <w:bCs/>
          <w:sz w:val="30"/>
          <w:szCs w:val="30"/>
        </w:rPr>
        <w:t xml:space="preserve">“三公”经费安排情况说明 </w:t>
      </w:r>
    </w:p>
    <w:p>
      <w:pPr>
        <w:widowControl/>
        <w:ind w:firstLine="600" w:firstLineChars="200"/>
        <w:jc w:val="left"/>
        <w:rPr>
          <w:rFonts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>学校2018年部门“三公”经费预算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7.58</w:t>
      </w:r>
      <w:r>
        <w:rPr>
          <w:rFonts w:hint="eastAsia" w:ascii="仿宋_GB2312" w:eastAsia="仿宋_GB2312"/>
          <w:kern w:val="0"/>
          <w:sz w:val="30"/>
          <w:szCs w:val="30"/>
        </w:rPr>
        <w:t>万元，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与</w:t>
      </w:r>
      <w:r>
        <w:rPr>
          <w:rFonts w:hint="eastAsia" w:ascii="仿宋_GB2312" w:eastAsia="仿宋_GB2312"/>
          <w:kern w:val="0"/>
          <w:sz w:val="30"/>
          <w:szCs w:val="30"/>
        </w:rPr>
        <w:t>上年预算数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基本持平</w:t>
      </w:r>
      <w:r>
        <w:rPr>
          <w:rFonts w:hint="eastAsia" w:ascii="仿宋_GB2312" w:eastAsia="仿宋_GB2312"/>
          <w:kern w:val="0"/>
          <w:sz w:val="30"/>
          <w:szCs w:val="30"/>
        </w:rPr>
        <w:t>，其中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：</w:t>
      </w:r>
      <w:r>
        <w:rPr>
          <w:rFonts w:hint="eastAsia" w:ascii="仿宋_GB2312" w:eastAsia="仿宋_GB2312"/>
          <w:kern w:val="0"/>
          <w:sz w:val="30"/>
          <w:szCs w:val="30"/>
        </w:rPr>
        <w:t>公务接待费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0.5</w:t>
      </w:r>
      <w:r>
        <w:rPr>
          <w:rFonts w:hint="eastAsia" w:ascii="仿宋_GB2312" w:eastAsia="仿宋_GB2312"/>
          <w:kern w:val="0"/>
          <w:sz w:val="30"/>
          <w:szCs w:val="30"/>
        </w:rPr>
        <w:t>万元，公务用车购置及运行费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7.08</w:t>
      </w:r>
      <w:r>
        <w:rPr>
          <w:rFonts w:hint="eastAsia" w:ascii="仿宋_GB2312" w:eastAsia="仿宋_GB2312"/>
          <w:kern w:val="0"/>
          <w:sz w:val="30"/>
          <w:szCs w:val="30"/>
        </w:rPr>
        <w:t>万元。</w:t>
      </w:r>
    </w:p>
    <w:p>
      <w:pPr>
        <w:widowControl/>
        <w:numPr>
          <w:ilvl w:val="0"/>
          <w:numId w:val="1"/>
        </w:numPr>
        <w:rPr>
          <w:rFonts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>因公出国（境）费</w:t>
      </w:r>
    </w:p>
    <w:p>
      <w:pPr>
        <w:widowControl/>
        <w:ind w:firstLine="600" w:firstLineChars="200"/>
        <w:jc w:val="left"/>
        <w:rPr>
          <w:rFonts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>2018年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学校无此项</w:t>
      </w:r>
      <w:r>
        <w:rPr>
          <w:rFonts w:hint="eastAsia" w:ascii="仿宋_GB2312" w:eastAsia="仿宋_GB2312"/>
          <w:kern w:val="0"/>
          <w:sz w:val="30"/>
          <w:szCs w:val="30"/>
        </w:rPr>
        <w:t>支出。</w:t>
      </w:r>
    </w:p>
    <w:p>
      <w:pPr>
        <w:widowControl/>
        <w:ind w:firstLine="602" w:firstLineChars="200"/>
        <w:jc w:val="left"/>
        <w:rPr>
          <w:rFonts w:ascii="仿宋_GB2312" w:eastAsia="仿宋_GB2312"/>
          <w:b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（二）</w:t>
      </w:r>
      <w:r>
        <w:rPr>
          <w:rFonts w:hint="eastAsia" w:ascii="仿宋_GB2312" w:eastAsia="仿宋_GB2312"/>
          <w:kern w:val="0"/>
          <w:sz w:val="30"/>
          <w:szCs w:val="30"/>
        </w:rPr>
        <w:t>公务接待费</w:t>
      </w:r>
    </w:p>
    <w:p>
      <w:pPr>
        <w:widowControl/>
        <w:ind w:left="-141" w:leftChars="-67" w:firstLine="732" w:firstLineChars="244"/>
        <w:jc w:val="left"/>
        <w:rPr>
          <w:rFonts w:ascii="仿宋_GB2312"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 </w:t>
      </w:r>
      <w:r>
        <w:rPr>
          <w:rFonts w:hint="eastAsia" w:ascii="仿宋_GB2312" w:eastAsia="仿宋_GB2312"/>
          <w:kern w:val="0"/>
          <w:sz w:val="30"/>
          <w:szCs w:val="30"/>
        </w:rPr>
        <w:t>2018年学校安排公务接待费预算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0.5</w:t>
      </w:r>
      <w:r>
        <w:rPr>
          <w:rFonts w:hint="eastAsia" w:ascii="仿宋_GB2312" w:eastAsia="仿宋_GB2312"/>
          <w:kern w:val="0"/>
          <w:sz w:val="30"/>
          <w:szCs w:val="30"/>
        </w:rPr>
        <w:t>万元，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与</w:t>
      </w:r>
      <w:r>
        <w:rPr>
          <w:rFonts w:hint="eastAsia" w:ascii="仿宋_GB2312" w:eastAsia="仿宋_GB2312"/>
          <w:kern w:val="0"/>
          <w:sz w:val="30"/>
          <w:szCs w:val="30"/>
        </w:rPr>
        <w:t>2017年预算数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基本持平</w:t>
      </w:r>
      <w:r>
        <w:rPr>
          <w:rFonts w:hint="eastAsia" w:ascii="仿宋_GB2312" w:eastAsia="仿宋_GB2312"/>
          <w:kern w:val="0"/>
          <w:sz w:val="30"/>
          <w:szCs w:val="30"/>
        </w:rPr>
        <w:t>，主要用于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学校在正常的教学</w:t>
      </w:r>
      <w:r>
        <w:rPr>
          <w:rFonts w:hint="eastAsia" w:ascii="仿宋_GB2312" w:eastAsia="仿宋_GB2312"/>
          <w:kern w:val="0"/>
          <w:sz w:val="30"/>
          <w:szCs w:val="30"/>
        </w:rPr>
        <w:t>接待工作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中</w:t>
      </w:r>
      <w:r>
        <w:rPr>
          <w:rFonts w:hint="eastAsia" w:ascii="仿宋_GB2312" w:eastAsia="仿宋_GB2312"/>
          <w:kern w:val="0"/>
          <w:sz w:val="30"/>
          <w:szCs w:val="30"/>
        </w:rPr>
        <w:t>产生的费用。</w:t>
      </w:r>
    </w:p>
    <w:p>
      <w:pPr>
        <w:widowControl/>
        <w:ind w:left="600"/>
        <w:jc w:val="left"/>
        <w:rPr>
          <w:rFonts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b/>
          <w:kern w:val="0"/>
          <w:sz w:val="30"/>
          <w:szCs w:val="30"/>
        </w:rPr>
        <w:t>（三）</w:t>
      </w:r>
      <w:r>
        <w:rPr>
          <w:rFonts w:hint="eastAsia" w:ascii="仿宋_GB2312" w:eastAsia="仿宋_GB2312"/>
          <w:kern w:val="0"/>
          <w:sz w:val="30"/>
          <w:szCs w:val="30"/>
        </w:rPr>
        <w:t>公务用车购置及运行费</w:t>
      </w:r>
    </w:p>
    <w:p>
      <w:pPr>
        <w:widowControl/>
        <w:ind w:firstLine="750" w:firstLineChars="250"/>
        <w:jc w:val="left"/>
        <w:rPr>
          <w:rFonts w:ascii="仿宋_GB2312" w:eastAsia="仿宋_GB2312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 w:val="30"/>
          <w:szCs w:val="30"/>
        </w:rPr>
        <w:t>2018年昆明学校年初预算安排公务用车购置及运行费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7.08</w:t>
      </w:r>
      <w:r>
        <w:rPr>
          <w:rFonts w:hint="eastAsia" w:ascii="仿宋_GB2312" w:eastAsia="仿宋_GB2312"/>
          <w:kern w:val="0"/>
          <w:sz w:val="30"/>
          <w:szCs w:val="30"/>
        </w:rPr>
        <w:t>万元，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与</w:t>
      </w:r>
      <w:r>
        <w:rPr>
          <w:rFonts w:hint="eastAsia" w:ascii="仿宋_GB2312" w:eastAsia="仿宋_GB2312"/>
          <w:kern w:val="0"/>
          <w:sz w:val="30"/>
          <w:szCs w:val="30"/>
        </w:rPr>
        <w:t>2017年预算数</w:t>
      </w:r>
      <w:r>
        <w:rPr>
          <w:rFonts w:hint="eastAsia" w:ascii="仿宋_GB2312" w:eastAsia="仿宋_GB2312"/>
          <w:kern w:val="0"/>
          <w:sz w:val="30"/>
          <w:szCs w:val="30"/>
          <w:lang w:eastAsia="zh-CN"/>
        </w:rPr>
        <w:t>持平。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  <w:lang w:eastAsia="zh-CN"/>
        </w:rPr>
        <w:t>六</w:t>
      </w:r>
      <w:r>
        <w:rPr>
          <w:rFonts w:hint="eastAsia" w:ascii="黑体" w:hAnsi="黑体" w:eastAsia="黑体"/>
          <w:kern w:val="0"/>
          <w:sz w:val="30"/>
          <w:szCs w:val="30"/>
        </w:rPr>
        <w:t>、</w:t>
      </w:r>
      <w:r>
        <w:rPr>
          <w:rFonts w:ascii="黑体" w:hAnsi="黑体" w:eastAsia="黑体"/>
          <w:kern w:val="0"/>
          <w:sz w:val="30"/>
          <w:szCs w:val="30"/>
        </w:rPr>
        <w:t>政府采购预算情况</w:t>
      </w:r>
    </w:p>
    <w:p>
      <w:pPr>
        <w:widowControl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根据《中华人民共和国政府采购法》的有关规定，编制了政府采购预算，共涉及采购</w:t>
      </w:r>
      <w:r>
        <w:rPr>
          <w:rFonts w:hint="eastAsia" w:eastAsia="仿宋_GB2312"/>
          <w:kern w:val="0"/>
          <w:sz w:val="30"/>
          <w:szCs w:val="30"/>
          <w:lang w:eastAsia="zh-CN"/>
        </w:rPr>
        <w:t>商品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59</w:t>
      </w:r>
      <w:r>
        <w:rPr>
          <w:rFonts w:eastAsia="仿宋_GB2312"/>
          <w:kern w:val="0"/>
          <w:sz w:val="30"/>
          <w:szCs w:val="30"/>
        </w:rPr>
        <w:t>个，</w:t>
      </w:r>
      <w:r>
        <w:rPr>
          <w:rFonts w:hint="eastAsia" w:eastAsia="仿宋_GB2312"/>
          <w:kern w:val="0"/>
          <w:sz w:val="30"/>
          <w:szCs w:val="30"/>
          <w:lang w:eastAsia="zh-CN"/>
        </w:rPr>
        <w:t>主要是职业教育质量提升采购网络中心机房、广播系统，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2018年</w:t>
      </w:r>
      <w:r>
        <w:rPr>
          <w:rFonts w:eastAsia="仿宋_GB2312"/>
          <w:kern w:val="0"/>
          <w:sz w:val="30"/>
          <w:szCs w:val="30"/>
        </w:rPr>
        <w:t>采购预算</w:t>
      </w:r>
      <w:r>
        <w:rPr>
          <w:rFonts w:hint="eastAsia" w:eastAsia="仿宋_GB2312"/>
          <w:kern w:val="0"/>
          <w:sz w:val="30"/>
          <w:szCs w:val="30"/>
          <w:lang w:eastAsia="zh-CN"/>
        </w:rPr>
        <w:t>总</w:t>
      </w:r>
      <w:r>
        <w:rPr>
          <w:rFonts w:eastAsia="仿宋_GB2312"/>
          <w:kern w:val="0"/>
          <w:sz w:val="30"/>
          <w:szCs w:val="30"/>
        </w:rPr>
        <w:t>资金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233.72</w:t>
      </w:r>
      <w:r>
        <w:rPr>
          <w:rFonts w:eastAsia="仿宋_GB2312"/>
          <w:kern w:val="0"/>
          <w:sz w:val="30"/>
          <w:szCs w:val="30"/>
        </w:rPr>
        <w:t>万元。</w:t>
      </w: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  <w:lang w:eastAsia="zh-CN"/>
        </w:rPr>
        <w:t>七</w:t>
      </w:r>
      <w:r>
        <w:rPr>
          <w:rFonts w:ascii="黑体" w:hAnsi="黑体" w:eastAsia="黑体"/>
          <w:kern w:val="0"/>
          <w:sz w:val="30"/>
          <w:szCs w:val="30"/>
        </w:rPr>
        <w:t>、</w:t>
      </w:r>
      <w:r>
        <w:rPr>
          <w:rFonts w:hint="eastAsia" w:ascii="黑体" w:hAnsi="黑体" w:eastAsia="黑体"/>
          <w:kern w:val="0"/>
          <w:sz w:val="30"/>
          <w:szCs w:val="30"/>
        </w:rPr>
        <w:t>预算收支增减变化情况说明</w:t>
      </w:r>
    </w:p>
    <w:p>
      <w:pPr>
        <w:pStyle w:val="12"/>
        <w:widowControl/>
        <w:numPr>
          <w:ilvl w:val="0"/>
          <w:numId w:val="2"/>
        </w:numPr>
        <w:ind w:firstLineChars="0"/>
        <w:jc w:val="left"/>
        <w:rPr>
          <w:rFonts w:ascii="楷体" w:hAnsi="楷体" w:eastAsia="楷体"/>
          <w:kern w:val="0"/>
          <w:sz w:val="30"/>
          <w:szCs w:val="30"/>
        </w:rPr>
      </w:pPr>
      <w:r>
        <w:rPr>
          <w:rFonts w:ascii="楷体" w:hAnsi="楷体" w:eastAsia="楷体"/>
          <w:kern w:val="0"/>
          <w:sz w:val="30"/>
          <w:szCs w:val="30"/>
        </w:rPr>
        <w:t>基本支出预算变动的主要原因</w:t>
      </w:r>
    </w:p>
    <w:p>
      <w:pPr>
        <w:widowControl/>
        <w:ind w:firstLine="600" w:firstLineChars="200"/>
        <w:jc w:val="left"/>
        <w:rPr>
          <w:rFonts w:hint="eastAsia"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2018年本级财</w:t>
      </w:r>
      <w:r>
        <w:rPr>
          <w:rFonts w:hint="eastAsia" w:eastAsia="仿宋_GB2312"/>
          <w:kern w:val="0"/>
          <w:sz w:val="30"/>
          <w:szCs w:val="30"/>
          <w:lang w:eastAsia="zh-CN"/>
        </w:rPr>
        <w:t>政</w:t>
      </w:r>
      <w:r>
        <w:rPr>
          <w:rFonts w:hint="eastAsia" w:eastAsia="仿宋_GB2312"/>
          <w:kern w:val="0"/>
          <w:sz w:val="30"/>
          <w:szCs w:val="30"/>
        </w:rPr>
        <w:t>部门基本支出</w:t>
      </w:r>
      <w:r>
        <w:rPr>
          <w:rFonts w:hint="eastAsia" w:ascii="仿宋_GB2312" w:eastAsia="仿宋_GB2312"/>
          <w:kern w:val="0"/>
          <w:sz w:val="30"/>
          <w:szCs w:val="30"/>
        </w:rPr>
        <w:t>1233.6</w:t>
      </w:r>
      <w:r>
        <w:rPr>
          <w:rFonts w:hint="eastAsia" w:ascii="仿宋_GB2312" w:eastAsia="仿宋_GB2312"/>
          <w:kern w:val="0"/>
          <w:sz w:val="30"/>
          <w:szCs w:val="30"/>
          <w:lang w:val="en-US" w:eastAsia="zh-CN"/>
        </w:rPr>
        <w:t>8</w:t>
      </w:r>
      <w:r>
        <w:rPr>
          <w:rFonts w:hint="eastAsia" w:eastAsia="仿宋_GB2312"/>
          <w:kern w:val="0"/>
          <w:sz w:val="30"/>
          <w:szCs w:val="30"/>
        </w:rPr>
        <w:t>万元，与上年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1200.23万元</w:t>
      </w:r>
      <w:r>
        <w:rPr>
          <w:rFonts w:hint="eastAsia" w:eastAsia="仿宋_GB2312"/>
          <w:kern w:val="0"/>
          <w:sz w:val="30"/>
          <w:szCs w:val="30"/>
        </w:rPr>
        <w:t>对比增加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33.45</w:t>
      </w:r>
      <w:r>
        <w:rPr>
          <w:rFonts w:hint="eastAsia" w:eastAsia="仿宋_GB2312"/>
          <w:kern w:val="0"/>
          <w:sz w:val="30"/>
          <w:szCs w:val="30"/>
        </w:rPr>
        <w:t>万元，增加变化的原因主要是：</w:t>
      </w:r>
    </w:p>
    <w:p>
      <w:pPr>
        <w:widowControl/>
        <w:ind w:firstLine="602" w:firstLineChars="200"/>
        <w:jc w:val="left"/>
        <w:rPr>
          <w:rFonts w:hint="eastAsia" w:eastAsia="仿宋_GB2312"/>
          <w:kern w:val="0"/>
          <w:sz w:val="30"/>
          <w:szCs w:val="30"/>
        </w:rPr>
      </w:pPr>
      <w:r>
        <w:rPr>
          <w:rFonts w:hint="eastAsia" w:eastAsia="仿宋_GB2312"/>
          <w:b/>
          <w:kern w:val="0"/>
          <w:sz w:val="30"/>
          <w:szCs w:val="30"/>
          <w:lang w:eastAsia="zh-CN"/>
        </w:rPr>
        <w:t>国家政策性增长人员工资，</w:t>
      </w:r>
      <w:r>
        <w:rPr>
          <w:rFonts w:hint="eastAsia" w:eastAsia="仿宋_GB2312"/>
          <w:kern w:val="0"/>
          <w:sz w:val="30"/>
          <w:szCs w:val="30"/>
        </w:rPr>
        <w:t>2018年用于保障正常运转的日常支出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1233.68</w:t>
      </w:r>
      <w:r>
        <w:rPr>
          <w:rFonts w:hint="eastAsia" w:eastAsia="仿宋_GB2312"/>
          <w:kern w:val="0"/>
          <w:sz w:val="30"/>
          <w:szCs w:val="30"/>
        </w:rPr>
        <w:t>万元。其中：包括基本工资，津贴补贴等工资福利支出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1131.40</w:t>
      </w:r>
      <w:r>
        <w:rPr>
          <w:rFonts w:hint="eastAsia" w:eastAsia="仿宋_GB2312"/>
          <w:kern w:val="0"/>
          <w:sz w:val="30"/>
          <w:szCs w:val="30"/>
        </w:rPr>
        <w:t>万元,占基本支出的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91.70</w:t>
      </w:r>
      <w:r>
        <w:rPr>
          <w:rFonts w:hint="eastAsia" w:eastAsia="仿宋_GB2312"/>
          <w:kern w:val="0"/>
          <w:sz w:val="30"/>
          <w:szCs w:val="30"/>
        </w:rPr>
        <w:t>％；办公经费、维修（护）费、培训费、会议费、公务用车运行维护费购置等日常商品及服务支出（公用支出）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102.28</w:t>
      </w:r>
      <w:r>
        <w:rPr>
          <w:rFonts w:hint="eastAsia" w:eastAsia="仿宋_GB2312"/>
          <w:kern w:val="0"/>
          <w:sz w:val="30"/>
          <w:szCs w:val="30"/>
        </w:rPr>
        <w:t>万元,占基本支出的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8.29</w:t>
      </w:r>
      <w:r>
        <w:rPr>
          <w:rFonts w:hint="eastAsia" w:eastAsia="仿宋_GB2312"/>
          <w:kern w:val="0"/>
          <w:sz w:val="30"/>
          <w:szCs w:val="30"/>
        </w:rPr>
        <w:t>％</w:t>
      </w:r>
    </w:p>
    <w:p>
      <w:pPr>
        <w:widowControl/>
        <w:ind w:firstLine="600" w:firstLineChars="200"/>
        <w:jc w:val="left"/>
        <w:rPr>
          <w:rFonts w:ascii="楷体" w:hAnsi="楷体" w:eastAsia="楷体"/>
          <w:kern w:val="0"/>
          <w:sz w:val="30"/>
          <w:szCs w:val="30"/>
        </w:rPr>
      </w:pPr>
      <w:r>
        <w:rPr>
          <w:rFonts w:hint="eastAsia" w:ascii="楷体" w:hAnsi="楷体" w:eastAsia="楷体"/>
          <w:kern w:val="0"/>
          <w:sz w:val="30"/>
          <w:szCs w:val="30"/>
        </w:rPr>
        <w:t>（二）</w:t>
      </w:r>
      <w:r>
        <w:rPr>
          <w:rFonts w:ascii="楷体" w:hAnsi="楷体" w:eastAsia="楷体"/>
          <w:kern w:val="0"/>
          <w:sz w:val="30"/>
          <w:szCs w:val="30"/>
        </w:rPr>
        <w:t>项目支出预算变动的主要原因</w:t>
      </w:r>
    </w:p>
    <w:p>
      <w:pPr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2018年本级财</w:t>
      </w:r>
      <w:r>
        <w:rPr>
          <w:rFonts w:hint="eastAsia" w:eastAsia="仿宋_GB2312"/>
          <w:kern w:val="0"/>
          <w:sz w:val="30"/>
          <w:szCs w:val="30"/>
          <w:lang w:eastAsia="zh-CN"/>
        </w:rPr>
        <w:t>政</w:t>
      </w:r>
      <w:r>
        <w:rPr>
          <w:rFonts w:hint="eastAsia" w:eastAsia="仿宋_GB2312"/>
          <w:kern w:val="0"/>
          <w:sz w:val="30"/>
          <w:szCs w:val="30"/>
        </w:rPr>
        <w:t>安排项目支出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2685.57</w:t>
      </w:r>
      <w:r>
        <w:rPr>
          <w:rFonts w:hint="eastAsia" w:eastAsia="仿宋_GB2312"/>
          <w:kern w:val="0"/>
          <w:sz w:val="30"/>
          <w:szCs w:val="30"/>
        </w:rPr>
        <w:t>万元，与上年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4421.54万元</w:t>
      </w:r>
      <w:r>
        <w:rPr>
          <w:rFonts w:hint="eastAsia" w:eastAsia="仿宋_GB2312"/>
          <w:kern w:val="0"/>
          <w:sz w:val="30"/>
          <w:szCs w:val="30"/>
        </w:rPr>
        <w:t>对比</w:t>
      </w:r>
      <w:r>
        <w:rPr>
          <w:rFonts w:hint="eastAsia" w:eastAsia="仿宋_GB2312"/>
          <w:kern w:val="0"/>
          <w:sz w:val="30"/>
          <w:szCs w:val="30"/>
          <w:lang w:eastAsia="zh-CN"/>
        </w:rPr>
        <w:t>减少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1735.97</w:t>
      </w:r>
      <w:r>
        <w:rPr>
          <w:rFonts w:hint="eastAsia" w:eastAsia="仿宋_GB2312"/>
          <w:kern w:val="0"/>
          <w:sz w:val="30"/>
          <w:szCs w:val="30"/>
        </w:rPr>
        <w:t>万元，变化的</w:t>
      </w:r>
      <w:r>
        <w:rPr>
          <w:rFonts w:hint="eastAsia" w:eastAsia="仿宋_GB2312"/>
          <w:kern w:val="0"/>
          <w:sz w:val="30"/>
          <w:szCs w:val="30"/>
          <w:lang w:eastAsia="zh-CN"/>
        </w:rPr>
        <w:t>项目</w:t>
      </w:r>
      <w:r>
        <w:rPr>
          <w:rFonts w:hint="eastAsia" w:eastAsia="仿宋_GB2312"/>
          <w:kern w:val="0"/>
          <w:sz w:val="30"/>
          <w:szCs w:val="30"/>
        </w:rPr>
        <w:t>主要是：</w:t>
      </w:r>
    </w:p>
    <w:p>
      <w:pPr>
        <w:numPr>
          <w:ilvl w:val="0"/>
          <w:numId w:val="3"/>
        </w:numPr>
        <w:jc w:val="left"/>
        <w:rPr>
          <w:rFonts w:hint="eastAsia" w:eastAsia="仿宋_GB2312"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kern w:val="0"/>
          <w:sz w:val="30"/>
          <w:szCs w:val="30"/>
          <w:lang w:val="en-US" w:eastAsia="zh-CN"/>
        </w:rPr>
        <w:t>昆明开放学院（排危改扩建项目）2017年预算4000万元，2018   年预算2331万元（1341+990），减少1669万元</w:t>
      </w:r>
    </w:p>
    <w:p>
      <w:pPr>
        <w:numPr>
          <w:ilvl w:val="0"/>
          <w:numId w:val="3"/>
        </w:numPr>
        <w:jc w:val="left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  <w:lang w:eastAsia="zh-CN"/>
        </w:rPr>
        <w:t>新增设备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2017年预算271.54万元，2018年预算48.14万元，减少223.4万元</w:t>
      </w:r>
    </w:p>
    <w:p>
      <w:pPr>
        <w:widowControl/>
        <w:numPr>
          <w:ilvl w:val="0"/>
          <w:numId w:val="3"/>
        </w:numPr>
        <w:ind w:left="0" w:leftChars="0" w:firstLine="0" w:firstLineChars="0"/>
        <w:jc w:val="left"/>
        <w:rPr>
          <w:rFonts w:hint="eastAsia" w:eastAsia="仿宋_GB2312"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kern w:val="0"/>
          <w:sz w:val="30"/>
          <w:szCs w:val="30"/>
          <w:lang w:eastAsia="zh-CN"/>
        </w:rPr>
        <w:t>非税弥补办公经费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2017年预算45万元，2017年预算30万元，减少15万元</w:t>
      </w:r>
    </w:p>
    <w:p>
      <w:pPr>
        <w:widowControl/>
        <w:numPr>
          <w:ilvl w:val="0"/>
          <w:numId w:val="3"/>
        </w:numPr>
        <w:ind w:left="0" w:leftChars="0" w:firstLine="0" w:firstLineChars="0"/>
        <w:jc w:val="left"/>
        <w:rPr>
          <w:rFonts w:hint="eastAsia" w:eastAsia="仿宋_GB2312"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kern w:val="0"/>
          <w:sz w:val="30"/>
          <w:szCs w:val="30"/>
          <w:lang w:val="en-US" w:eastAsia="zh-CN"/>
        </w:rPr>
        <w:t>非税——省开大办学管理费，2017年预算70万元，2018年预算10万元（由于省开大缴费模式改变，由各个办学点直接上交省校），减少60万元</w:t>
      </w:r>
    </w:p>
    <w:p>
      <w:pPr>
        <w:widowControl/>
        <w:numPr>
          <w:ilvl w:val="0"/>
          <w:numId w:val="3"/>
        </w:numPr>
        <w:ind w:left="0" w:leftChars="0" w:firstLine="0" w:firstLineChars="0"/>
        <w:jc w:val="left"/>
        <w:rPr>
          <w:rFonts w:hint="eastAsia" w:eastAsia="仿宋_GB2312"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kern w:val="0"/>
          <w:sz w:val="30"/>
          <w:szCs w:val="30"/>
          <w:lang w:val="en-US" w:eastAsia="zh-CN"/>
        </w:rPr>
        <w:t>增加2017年设备采购尾款127.98万元（</w:t>
      </w:r>
      <w:r>
        <w:rPr>
          <w:rFonts w:hint="eastAsia" w:eastAsia="仿宋_GB2312"/>
          <w:kern w:val="0"/>
          <w:sz w:val="30"/>
          <w:szCs w:val="30"/>
          <w:lang w:eastAsia="zh-CN"/>
        </w:rPr>
        <w:t>职业教育质量提升采购网络中心机房、广播系统等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），饮水机2.65万余</w:t>
      </w:r>
    </w:p>
    <w:p>
      <w:pPr>
        <w:widowControl/>
        <w:numPr>
          <w:ilvl w:val="0"/>
          <w:numId w:val="3"/>
        </w:numPr>
        <w:ind w:left="0" w:leftChars="0" w:firstLine="0" w:firstLineChars="0"/>
        <w:jc w:val="left"/>
        <w:rPr>
          <w:rFonts w:hint="eastAsia" w:eastAsia="仿宋_GB2312"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kern w:val="0"/>
          <w:sz w:val="30"/>
          <w:szCs w:val="30"/>
          <w:lang w:val="en-US" w:eastAsia="zh-CN"/>
        </w:rPr>
        <w:t>增加校园保安服务43.2万元（一般预算拨款）、非税—保洁服务36万元、非税—校园绿化养护21.6万元</w:t>
      </w:r>
    </w:p>
    <w:p>
      <w:pPr>
        <w:widowControl/>
        <w:ind w:firstLine="600" w:firstLineChars="200"/>
        <w:jc w:val="left"/>
        <w:rPr>
          <w:rFonts w:hint="eastAsia" w:ascii="黑体" w:hAnsi="黑体" w:eastAsia="黑体"/>
          <w:kern w:val="0"/>
          <w:sz w:val="30"/>
          <w:szCs w:val="30"/>
        </w:rPr>
      </w:pPr>
      <w:bookmarkStart w:id="0" w:name="_GoBack"/>
      <w:bookmarkEnd w:id="0"/>
    </w:p>
    <w:p>
      <w:pPr>
        <w:widowControl/>
        <w:ind w:firstLine="600" w:firstLineChars="200"/>
        <w:jc w:val="left"/>
        <w:rPr>
          <w:rFonts w:hint="eastAsia" w:ascii="黑体" w:hAnsi="黑体" w:eastAsia="黑体"/>
          <w:kern w:val="0"/>
          <w:sz w:val="30"/>
          <w:szCs w:val="30"/>
        </w:rPr>
      </w:pPr>
    </w:p>
    <w:p>
      <w:pPr>
        <w:widowControl/>
        <w:ind w:firstLine="600" w:firstLineChars="200"/>
        <w:jc w:val="left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</w:rPr>
        <w:t>九</w:t>
      </w:r>
      <w:r>
        <w:rPr>
          <w:rFonts w:ascii="黑体" w:hAnsi="黑体" w:eastAsia="黑体"/>
          <w:kern w:val="0"/>
          <w:sz w:val="30"/>
          <w:szCs w:val="30"/>
        </w:rPr>
        <w:t>、其他公开信息</w:t>
      </w:r>
    </w:p>
    <w:p>
      <w:pPr>
        <w:widowControl/>
        <w:ind w:firstLine="600" w:firstLineChars="20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（一）专业名词解释</w:t>
      </w:r>
    </w:p>
    <w:p>
      <w:pPr>
        <w:pStyle w:val="13"/>
        <w:shd w:val="clear" w:color="auto" w:fill="FFFFFF"/>
        <w:spacing w:before="0" w:beforeAutospacing="0" w:after="0" w:afterAutospacing="0"/>
        <w:ind w:firstLine="600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1.财政拨款收入：指财政部门用一般预算收入安排的预算单位资金。</w:t>
      </w:r>
    </w:p>
    <w:p>
      <w:pPr>
        <w:pStyle w:val="13"/>
        <w:shd w:val="clear" w:color="auto" w:fill="FFFFFF"/>
        <w:spacing w:before="0" w:beforeAutospacing="0" w:after="0" w:afterAutospacing="0"/>
        <w:ind w:firstLine="60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Times New Roman" w:hAnsi="Times New Roman" w:eastAsia="微软雅黑" w:cs="Times New Roman"/>
          <w:color w:val="333333"/>
          <w:sz w:val="30"/>
          <w:szCs w:val="30"/>
        </w:rPr>
        <w:t>2</w:t>
      </w:r>
      <w:r>
        <w:rPr>
          <w:rFonts w:ascii="Times New Roman" w:hAnsi="Times New Roman" w:eastAsia="微软雅黑" w:cs="Times New Roman"/>
          <w:color w:val="333333"/>
          <w:sz w:val="30"/>
          <w:szCs w:val="30"/>
        </w:rPr>
        <w:t xml:space="preserve">. </w:t>
      </w:r>
      <w:r>
        <w:rPr>
          <w:rFonts w:hint="eastAsia" w:ascii="仿宋_GB2312" w:hAnsi="微软雅黑" w:eastAsia="仿宋_GB2312"/>
          <w:color w:val="333333"/>
          <w:sz w:val="30"/>
          <w:szCs w:val="30"/>
        </w:rPr>
        <w:t>经济科目：指政府支出按经济性质和具体用途所作的一种分类科目，具体设类、款两级。</w:t>
      </w:r>
    </w:p>
    <w:p>
      <w:pPr>
        <w:pStyle w:val="13"/>
        <w:shd w:val="clear" w:color="auto" w:fill="FFFFFF"/>
        <w:spacing w:before="0" w:beforeAutospacing="0" w:after="0" w:afterAutospacing="0"/>
        <w:ind w:firstLine="60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Times New Roman" w:hAnsi="Times New Roman" w:eastAsia="微软雅黑" w:cs="Times New Roman"/>
          <w:color w:val="333333"/>
          <w:sz w:val="30"/>
          <w:szCs w:val="30"/>
        </w:rPr>
        <w:t>3</w:t>
      </w:r>
      <w:r>
        <w:rPr>
          <w:rFonts w:ascii="Times New Roman" w:hAnsi="Times New Roman" w:eastAsia="微软雅黑" w:cs="Times New Roman"/>
          <w:color w:val="333333"/>
          <w:sz w:val="30"/>
          <w:szCs w:val="30"/>
        </w:rPr>
        <w:t xml:space="preserve">. </w:t>
      </w:r>
      <w:r>
        <w:rPr>
          <w:rFonts w:hint="eastAsia" w:ascii="仿宋_GB2312" w:hAnsi="微软雅黑" w:eastAsia="仿宋_GB2312"/>
          <w:color w:val="333333"/>
          <w:sz w:val="30"/>
          <w:szCs w:val="30"/>
        </w:rPr>
        <w:t>功能科目：指政府支出按其主要职能活动所作的一种分类科目，主要反映政府活动的不同功能和政策目标，具体设类、款、项三级。</w:t>
      </w:r>
    </w:p>
    <w:p>
      <w:pPr>
        <w:pStyle w:val="13"/>
        <w:shd w:val="clear" w:color="auto" w:fill="FFFFFF"/>
        <w:spacing w:before="0" w:beforeAutospacing="0" w:after="0" w:afterAutospacing="0"/>
        <w:ind w:firstLine="600"/>
        <w:rPr>
          <w:rFonts w:ascii="微软雅黑" w:hAnsi="微软雅黑" w:eastAsia="微软雅黑"/>
          <w:color w:val="333333"/>
          <w:sz w:val="21"/>
          <w:szCs w:val="21"/>
        </w:rPr>
      </w:pPr>
      <w:r>
        <w:rPr>
          <w:rFonts w:hint="eastAsia" w:ascii="Times New Roman" w:hAnsi="Times New Roman" w:eastAsia="微软雅黑" w:cs="Times New Roman"/>
          <w:color w:val="333333"/>
          <w:sz w:val="30"/>
          <w:szCs w:val="30"/>
        </w:rPr>
        <w:t>4</w:t>
      </w:r>
      <w:r>
        <w:rPr>
          <w:rFonts w:ascii="Times New Roman" w:hAnsi="Times New Roman" w:eastAsia="微软雅黑" w:cs="Times New Roman"/>
          <w:color w:val="333333"/>
          <w:sz w:val="30"/>
          <w:szCs w:val="30"/>
        </w:rPr>
        <w:t xml:space="preserve">. </w:t>
      </w:r>
      <w:r>
        <w:rPr>
          <w:rFonts w:hint="eastAsia" w:ascii="仿宋_GB2312" w:hAnsi="微软雅黑" w:eastAsia="仿宋_GB2312"/>
          <w:color w:val="333333"/>
          <w:sz w:val="30"/>
          <w:szCs w:val="30"/>
        </w:rPr>
        <w:t>一般公共预算：对以税收为主体的财政收入，安排用于保障和改善民生、推动经济社会发展、维护国家安全、维持国家机构正常运转等方面的收支预算。主要包括本级财力、专项收入、执法办案补助、收费成本补偿、财政专户管理的教育收费和国有资源（资产）有偿使用。</w:t>
      </w:r>
    </w:p>
    <w:p>
      <w:pPr>
        <w:widowControl/>
        <w:spacing w:line="360" w:lineRule="atLeast"/>
        <w:ind w:firstLine="600" w:firstLineChars="200"/>
        <w:jc w:val="left"/>
        <w:rPr>
          <w:rFonts w:eastAsia="仿宋_GB2312"/>
          <w:kern w:val="0"/>
          <w:sz w:val="30"/>
          <w:szCs w:val="30"/>
        </w:rPr>
      </w:pPr>
    </w:p>
    <w:p>
      <w:pPr>
        <w:widowControl/>
        <w:numPr>
          <w:ilvl w:val="0"/>
          <w:numId w:val="2"/>
        </w:numPr>
        <w:ind w:left="1680" w:leftChars="0" w:hanging="1080" w:firstLineChars="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国有资产占用情况</w:t>
      </w:r>
    </w:p>
    <w:p>
      <w:pPr>
        <w:widowControl/>
        <w:numPr>
          <w:ilvl w:val="0"/>
          <w:numId w:val="0"/>
        </w:numPr>
        <w:ind w:left="600" w:leftChars="0"/>
        <w:jc w:val="left"/>
        <w:rPr>
          <w:rFonts w:ascii="楷体_GB2312" w:eastAsia="楷体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  <w:lang w:val="en-US" w:eastAsia="zh-CN"/>
        </w:rPr>
        <w:t>详见下表：</w:t>
      </w:r>
    </w:p>
    <w:tbl>
      <w:tblPr>
        <w:tblStyle w:val="8"/>
        <w:tblpPr w:leftFromText="180" w:rightFromText="180" w:vertAnchor="text" w:horzAnchor="page" w:tblpX="667" w:tblpY="1227"/>
        <w:tblOverlap w:val="never"/>
        <w:tblW w:w="1166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00"/>
        <w:gridCol w:w="469"/>
        <w:gridCol w:w="891"/>
        <w:gridCol w:w="891"/>
        <w:gridCol w:w="1354"/>
        <w:gridCol w:w="1354"/>
        <w:gridCol w:w="2148"/>
        <w:gridCol w:w="469"/>
        <w:gridCol w:w="1269"/>
        <w:gridCol w:w="8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540" w:hRule="atLeast"/>
        </w:trPr>
        <w:tc>
          <w:tcPr>
            <w:tcW w:w="10845" w:type="dxa"/>
            <w:gridSpan w:val="9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资产情况表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285" w:hRule="atLeast"/>
        </w:trPr>
        <w:tc>
          <w:tcPr>
            <w:tcW w:w="2000" w:type="dxa"/>
            <w:shd w:val="clear" w:color="auto" w:fill="auto"/>
            <w:vAlign w:val="bottom"/>
          </w:tcPr>
          <w:p>
            <w:pPr>
              <w:rPr>
                <w:rFonts w:hint="eastAsia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" w:type="dxa"/>
            <w:shd w:val="clear" w:color="auto" w:fill="auto"/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48" w:type="dxa"/>
            <w:shd w:val="clear" w:color="auto" w:fill="auto"/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8" w:type="dxa"/>
            <w:gridSpan w:val="2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财决附01表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285" w:hRule="atLeast"/>
        </w:trPr>
        <w:tc>
          <w:tcPr>
            <w:tcW w:w="3360" w:type="dxa"/>
            <w:gridSpan w:val="3"/>
            <w:shd w:val="clear" w:color="auto" w:fill="auto"/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编制单位：昆明广播电视大学</w:t>
            </w:r>
          </w:p>
        </w:tc>
        <w:tc>
          <w:tcPr>
            <w:tcW w:w="891" w:type="dxa"/>
            <w:shd w:val="clear" w:color="auto" w:fill="auto"/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2017年度</w:t>
            </w:r>
          </w:p>
        </w:tc>
        <w:tc>
          <w:tcPr>
            <w:tcW w:w="1354" w:type="dxa"/>
            <w:shd w:val="clear" w:color="auto" w:fill="auto"/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48" w:type="dxa"/>
            <w:shd w:val="clear" w:color="auto" w:fill="auto"/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9" w:type="dxa"/>
            <w:shd w:val="clear" w:color="auto" w:fill="auto"/>
            <w:vAlign w:val="bottom"/>
          </w:tcPr>
          <w:p>
            <w:pPr>
              <w:rPr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金额单位：元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90" w:hRule="atLeast"/>
        </w:trPr>
        <w:tc>
          <w:tcPr>
            <w:tcW w:w="20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　　目</w:t>
            </w:r>
          </w:p>
        </w:tc>
        <w:tc>
          <w:tcPr>
            <w:tcW w:w="469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行次</w:t>
            </w:r>
          </w:p>
        </w:tc>
        <w:tc>
          <w:tcPr>
            <w:tcW w:w="1782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2708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价值</w:t>
            </w:r>
          </w:p>
        </w:tc>
        <w:tc>
          <w:tcPr>
            <w:tcW w:w="3886" w:type="dxa"/>
            <w:gridSpan w:val="3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补充资料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9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年初数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年末数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年初数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年末数</w:t>
            </w:r>
          </w:p>
        </w:tc>
        <w:tc>
          <w:tcPr>
            <w:tcW w:w="3886" w:type="dxa"/>
            <w:gridSpan w:val="3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FFFFFF" w:fill="C0C0C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栏　　次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栏　　次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行次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资产总额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59,360,074.46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93,982,516.55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一、本年坏账损失金额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一、流动资产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1,706,231.93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4,326,276.12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二、危房面积（平方米）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二、固定资产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24,268,606.96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27,843,629.52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（一）上年年末数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（一）房屋（平方米）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14,335.00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14,335.00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18,111,364.00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18,111,364.00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（二）本年增加数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1.办公用房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13,335.00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13,335.00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17,745,746.00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17,745,746.00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（三）本年减少数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　    2.业务用房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其中：本年修复数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　 　   3.其他（不含构筑物）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1,000.00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1,000.00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365,618.00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365,618.00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（四）年末数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（二）车辆（台、辆）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761,131.00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761,131.00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三、年末单位负担费用的供暖面积（平方米）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1.轿车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761,131.00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761,131.00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四、年末单位出租出借房屋面积（平方米）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2.越野车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五、年末单位土地证证载面积（平方米）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3.小型载客汽车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六、年末单位车辆工作用途情况（台、辆）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4.大中型载客汽车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1.副部（省）级及以上领导用车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5.其他车型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2.一般公务用车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（三）单价50万元（含）以上的通用设备（台、套…）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3.一般执法执勤用车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456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（四）单价100万元（含）以上的专用设备（台、套…）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4.特种专业技术用车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（五）其他固定资产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5,396,111.96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8,971,134.52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5.其他用车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减：累计折旧及减值准备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三、长期投资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四、在建工程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33,385,235.57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61,812,610.91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五、无形资产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822" w:type="dxa"/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减：累计摊销</w:t>
            </w: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9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  <w:tc>
          <w:tcPr>
            <w:tcW w:w="1354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  <w:tc>
          <w:tcPr>
            <w:tcW w:w="2148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dxa"/>
            <w:tcBorders>
              <w:bottom w:val="single" w:color="000000" w:sz="4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269" w:type="dxa"/>
            <w:tcBorders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200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六、其他资产</w:t>
            </w:r>
          </w:p>
        </w:tc>
        <w:tc>
          <w:tcPr>
            <w:tcW w:w="469" w:type="dxa"/>
            <w:tcBorders>
              <w:bottom w:val="single" w:color="000000" w:sz="12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891" w:type="dxa"/>
            <w:tcBorders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891" w:type="dxa"/>
            <w:tcBorders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—</w:t>
            </w:r>
          </w:p>
        </w:tc>
        <w:tc>
          <w:tcPr>
            <w:tcW w:w="1354" w:type="dxa"/>
            <w:tcBorders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  <w:tc>
          <w:tcPr>
            <w:tcW w:w="1354" w:type="dxa"/>
            <w:tcBorders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</w:t>
            </w:r>
          </w:p>
        </w:tc>
        <w:tc>
          <w:tcPr>
            <w:tcW w:w="2148" w:type="dxa"/>
            <w:tcBorders>
              <w:bottom w:val="single" w:color="000000" w:sz="12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dxa"/>
            <w:tcBorders>
              <w:bottom w:val="single" w:color="000000" w:sz="12" w:space="0"/>
              <w:right w:val="single" w:color="000000" w:sz="4" w:space="0"/>
            </w:tcBorders>
            <w:shd w:val="clear" w:color="FFFFFF" w:fill="C0C0C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091" w:type="dxa"/>
            <w:gridSpan w:val="2"/>
            <w:tcBorders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widowControl/>
        <w:numPr>
          <w:ilvl w:val="0"/>
          <w:numId w:val="0"/>
        </w:numPr>
        <w:jc w:val="left"/>
        <w:rPr>
          <w:rFonts w:ascii="楷体_GB2312" w:eastAsia="楷体_GB2312"/>
          <w:kern w:val="0"/>
          <w:sz w:val="30"/>
          <w:szCs w:val="30"/>
        </w:rPr>
      </w:pPr>
    </w:p>
    <w:p>
      <w:pPr>
        <w:widowControl/>
        <w:numPr>
          <w:ilvl w:val="0"/>
          <w:numId w:val="0"/>
        </w:numPr>
        <w:ind w:left="-420" w:leftChars="0" w:firstLine="0" w:firstLineChars="0"/>
        <w:jc w:val="left"/>
        <w:rPr>
          <w:rFonts w:ascii="楷体_GB2312" w:eastAsia="楷体_GB2312"/>
          <w:kern w:val="0"/>
          <w:sz w:val="30"/>
          <w:szCs w:val="30"/>
        </w:rPr>
      </w:pPr>
    </w:p>
    <w:sectPr>
      <w:headerReference r:id="rId3" w:type="default"/>
      <w:headerReference r:id="rId4" w:type="even"/>
      <w:pgSz w:w="11906" w:h="16838"/>
      <w:pgMar w:top="1247" w:right="1558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01461"/>
    <w:multiLevelType w:val="multilevel"/>
    <w:tmpl w:val="29F01461"/>
    <w:lvl w:ilvl="0" w:tentative="0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5A98DAC3"/>
    <w:multiLevelType w:val="singleLevel"/>
    <w:tmpl w:val="5A98DAC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F6A1675"/>
    <w:multiLevelType w:val="multilevel"/>
    <w:tmpl w:val="6F6A1675"/>
    <w:lvl w:ilvl="0" w:tentative="0">
      <w:start w:val="1"/>
      <w:numFmt w:val="japaneseCounting"/>
      <w:lvlText w:val="（%1）"/>
      <w:lvlJc w:val="left"/>
      <w:pPr>
        <w:ind w:left="1680" w:hanging="1080"/>
      </w:pPr>
      <w:rPr>
        <w:rFonts w:hint="default" w:ascii="Times New Roman" w:hAnsi="Times New Roman" w:eastAsia="仿宋_GB2312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94354"/>
    <w:rsid w:val="00057A58"/>
    <w:rsid w:val="00097272"/>
    <w:rsid w:val="000D315D"/>
    <w:rsid w:val="000E55AC"/>
    <w:rsid w:val="0011201B"/>
    <w:rsid w:val="00127E8C"/>
    <w:rsid w:val="00136BC4"/>
    <w:rsid w:val="00176138"/>
    <w:rsid w:val="001769A5"/>
    <w:rsid w:val="00186E75"/>
    <w:rsid w:val="001B7DE7"/>
    <w:rsid w:val="00247D6C"/>
    <w:rsid w:val="00282F08"/>
    <w:rsid w:val="002872C5"/>
    <w:rsid w:val="003430A7"/>
    <w:rsid w:val="003D51CC"/>
    <w:rsid w:val="00456A66"/>
    <w:rsid w:val="004B070F"/>
    <w:rsid w:val="004C4984"/>
    <w:rsid w:val="004C555B"/>
    <w:rsid w:val="004D3A48"/>
    <w:rsid w:val="004E1E3E"/>
    <w:rsid w:val="00525AA5"/>
    <w:rsid w:val="00564055"/>
    <w:rsid w:val="005734B6"/>
    <w:rsid w:val="005916A7"/>
    <w:rsid w:val="005D37A4"/>
    <w:rsid w:val="00622A89"/>
    <w:rsid w:val="00626439"/>
    <w:rsid w:val="006A48A5"/>
    <w:rsid w:val="006D40EF"/>
    <w:rsid w:val="006D4991"/>
    <w:rsid w:val="00713ABF"/>
    <w:rsid w:val="00774765"/>
    <w:rsid w:val="00794354"/>
    <w:rsid w:val="00796913"/>
    <w:rsid w:val="007A5D71"/>
    <w:rsid w:val="007A723F"/>
    <w:rsid w:val="007C645B"/>
    <w:rsid w:val="007C7141"/>
    <w:rsid w:val="007D0F4B"/>
    <w:rsid w:val="007E2767"/>
    <w:rsid w:val="007E4855"/>
    <w:rsid w:val="0081628E"/>
    <w:rsid w:val="00876408"/>
    <w:rsid w:val="008B456B"/>
    <w:rsid w:val="00927938"/>
    <w:rsid w:val="00960924"/>
    <w:rsid w:val="00961AFF"/>
    <w:rsid w:val="009A5434"/>
    <w:rsid w:val="00A13EBA"/>
    <w:rsid w:val="00A30C54"/>
    <w:rsid w:val="00A629D6"/>
    <w:rsid w:val="00A7732B"/>
    <w:rsid w:val="00AF6BE0"/>
    <w:rsid w:val="00B06712"/>
    <w:rsid w:val="00B40E53"/>
    <w:rsid w:val="00B740DD"/>
    <w:rsid w:val="00BB0895"/>
    <w:rsid w:val="00BC3C82"/>
    <w:rsid w:val="00BE1F59"/>
    <w:rsid w:val="00BE7EF7"/>
    <w:rsid w:val="00BF1691"/>
    <w:rsid w:val="00BF2D39"/>
    <w:rsid w:val="00C44155"/>
    <w:rsid w:val="00C8682C"/>
    <w:rsid w:val="00CA5798"/>
    <w:rsid w:val="00CF75AD"/>
    <w:rsid w:val="00D07122"/>
    <w:rsid w:val="00D21F07"/>
    <w:rsid w:val="00D66CF1"/>
    <w:rsid w:val="00DB21A3"/>
    <w:rsid w:val="00DB618A"/>
    <w:rsid w:val="00DC5CF6"/>
    <w:rsid w:val="00DD7CF9"/>
    <w:rsid w:val="00E65A8D"/>
    <w:rsid w:val="00EF0776"/>
    <w:rsid w:val="00F05B87"/>
    <w:rsid w:val="00F063FB"/>
    <w:rsid w:val="00FA40DA"/>
    <w:rsid w:val="00FD4F80"/>
    <w:rsid w:val="04C43638"/>
    <w:rsid w:val="052330F5"/>
    <w:rsid w:val="05E13E8C"/>
    <w:rsid w:val="066407C3"/>
    <w:rsid w:val="070210FF"/>
    <w:rsid w:val="0C6B5FE1"/>
    <w:rsid w:val="13D923C6"/>
    <w:rsid w:val="15443819"/>
    <w:rsid w:val="167D0451"/>
    <w:rsid w:val="182379A7"/>
    <w:rsid w:val="1C6E0249"/>
    <w:rsid w:val="219428B7"/>
    <w:rsid w:val="22750D9E"/>
    <w:rsid w:val="22790499"/>
    <w:rsid w:val="22FE4093"/>
    <w:rsid w:val="267E6474"/>
    <w:rsid w:val="27CE24E1"/>
    <w:rsid w:val="2AAF6EB9"/>
    <w:rsid w:val="32D46D41"/>
    <w:rsid w:val="3532065C"/>
    <w:rsid w:val="36011AF3"/>
    <w:rsid w:val="361C6BA5"/>
    <w:rsid w:val="39535943"/>
    <w:rsid w:val="39967CAD"/>
    <w:rsid w:val="3AD741F6"/>
    <w:rsid w:val="4274748E"/>
    <w:rsid w:val="46B61347"/>
    <w:rsid w:val="499A01AD"/>
    <w:rsid w:val="4A010E56"/>
    <w:rsid w:val="4ABA0E28"/>
    <w:rsid w:val="4C8B415D"/>
    <w:rsid w:val="4DC57E9A"/>
    <w:rsid w:val="4DFC4EDE"/>
    <w:rsid w:val="69F439AC"/>
    <w:rsid w:val="6E3C0547"/>
    <w:rsid w:val="6FAF348D"/>
    <w:rsid w:val="700B579D"/>
    <w:rsid w:val="7410455B"/>
    <w:rsid w:val="76CE1B2F"/>
    <w:rsid w:val="799D1DD3"/>
    <w:rsid w:val="79EB047B"/>
    <w:rsid w:val="7D7B1C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93" w:beforeLines="30"/>
    </w:pPr>
    <w:rPr>
      <w:rFonts w:ascii="仿宋_GB2312" w:eastAsia="仿宋_GB2312"/>
      <w:sz w:val="30"/>
    </w:r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paragraph" w:customStyle="1" w:styleId="13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13</Pages>
  <Words>999</Words>
  <Characters>5700</Characters>
  <Lines>47</Lines>
  <Paragraphs>13</Paragraphs>
  <ScaleCrop>false</ScaleCrop>
  <LinksUpToDate>false</LinksUpToDate>
  <CharactersWithSpaces>6686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2018-02-22T08:23:00Z</dcterms:created>
  <dc:creator>周强</dc:creator>
  <cp:lastModifiedBy>Administrator</cp:lastModifiedBy>
  <dcterms:modified xsi:type="dcterms:W3CDTF">2018-03-06T02:53:08Z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